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04c6021fb4ac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12591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TRILJ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3.357.110,20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3.651.844,34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3.320.909,04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3.773.875,26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122.030,92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60.983,02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84.171,87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60.983,02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84.171,87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24.781,86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206.202,79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832,1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od 1. siječnja do 31. prosinca 2025. prihodi poslovanja ostvareni su u iznosu od 3.651.844,34 EUR. Najznačajnije povećanje prihoda poslovanja u odnosu na prethodno izvještajno razdoblje ostvareno je od osnivača za nabavu nefinancijske imovine. Osnivač je financirao uređenje jedne učionice budućnosti u matičnoj školi. Najznačajnije smanjenje prihoda poslovanja bilježi se na prijenosima između proračunskih korisnika istog proračuna. U tekućem izvještajnom razdoblju ostvareno je manje prihoda od prijenosa između proračunskih korisnika jer je istekao ugovor za projekt BIOMozaik krš i more na kojem je škola bila partner i na osnovu kojeg je dobila sredstva u 2024. godini.</w:t>
      </w:r>
    </w:p>
    <w:p>
      <w:pPr>
        <w:jc w:val="both"/>
      </w:pPr>
      <w:r>
        <w:t xml:space="preserve">Rashodi poslovanja ostvareni su u iznosu 3.773.875,26 EUR. Najznačajnije povećanje rashoda poslovanja, evidentirano je na naknadama građanima i kućanstvima i to za nabavu radnih udžbenika. Radni udžbenici se nabavljaju za jednu školsku godinu i financira ih Grad Trilj. Najznačajnije smanjenje rashoda poslovanja ostvareno je na financijskim rashodima jer u tekućem izvještajnom razdoblju nije bilo sudskih presuda koje je škola dužna isplatiti. </w:t>
      </w:r>
    </w:p>
    <w:p>
      <w:pPr>
        <w:jc w:val="both"/>
      </w:pPr>
      <w:r>
        <w:t xml:space="preserve">Rashodi za nabavu nefinancijske imovine u tekućem izvještajnom razdoblju ostvareni su u iznosu 84.171,87 EUR. Najznačajnije povećanje rashoda za nabavu nefinancijske imovine ostvareno je na postojenjima i opremi, a odnosi se većim dijelom na uređenje učionice budućnosti koju je financirao osnivač. Manjim dijelom na povećanje rashoda utjecala je nabava udžbenika za školsku godinu 2025./2026. koje financira Ministarstvo znanosti i obrazovanja.</w:t>
      </w:r>
    </w:p>
    <w:p>
      <w:pPr>
        <w:jc w:val="both"/>
      </w:pPr>
      <w:r>
        <w:t xml:space="preserve">U izvještajnom razdoblju nije bilo ostvarenih primitaka i izdataka od financijske imovine i zaduživanja.</w:t>
      </w:r>
    </w:p>
    <w:p>
      <w:pPr>
        <w:jc w:val="both"/>
      </w:pPr>
      <w:r>
        <w:t xml:space="preserve">U izvještajnom razdoblju ostvaren je manjak prihoda poslovanja u iznosu od 122.030,92 EUR, manjak prihoda od nefinancijske imovine u iznosu od 84.171,87 EUR, slijedom čega je na kraju tekućeg izvještajnog razdoblja ostvaren ukupan manjak prihoda i primitaka u iznosu od 206.202,79 EUR.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-137.301,51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-346.903,70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kraju izvještajnog razdoblja ostvaren je ukupni manjak u iznosu od </w:t>
      </w:r>
      <w:r>
        <w:rPr>
          <w:b/>
        </w:rPr>
        <w:t xml:space="preserve">346.903,70</w:t>
      </w:r>
      <w:r>
        <w:t xml:space="preserve"> </w:t>
      </w:r>
      <w:r>
        <w:rPr>
          <w:b/>
        </w:rPr>
        <w:t xml:space="preserve">EUR</w:t>
      </w:r>
      <w:r>
        <w:t xml:space="preserve">. Razlog ostvarenja znantno većeg manjka u odnosu na prethodno izvještajno razdoblje je ukidanje konta 193 na koji su se knjižile plaće i doprinosi za prosinac.</w:t>
      </w:r>
    </w:p>
    <w:p>
      <w:pPr>
        <w:jc w:val="both"/>
      </w:pPr>
      <w:r>
        <w:t xml:space="preserve">Provedena je korekcija rezultata zbog kapitalnih prijenosa što prikazuje tablica u nastavku.</w:t>
      </w:r>
    </w:p>
    <w:tbl>
      <w:tblPr>
        <w:tblStyle w:val="TableGrid"/>
        <w:tblW w:w="5000" w:type="pct"/>
      </w:tblPr>
      <w:tblGrid>
        <w:gridCol w:w="1451"/>
        <w:gridCol w:w="3366"/>
        <w:gridCol w:w="1824"/>
        <w:gridCol w:w="1788"/>
        <w:gridCol w:w="1196"/>
      </w:tblGrid>
      <w:tr>
        <w:trPr/>
        <w:tc>
          <w:tcPr>
            <w:tcW w:w="753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Račun</w:t>
            </w:r>
          </w:p>
        </w:tc>
        <w:tc>
          <w:tcPr>
            <w:tcW w:w="1748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Naziv</w:t>
            </w:r>
          </w:p>
        </w:tc>
        <w:tc>
          <w:tcPr>
            <w:tcW w:w="947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PR-RAS</w:t>
            </w:r>
          </w:p>
        </w:tc>
        <w:tc>
          <w:tcPr>
            <w:tcW w:w="928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Korekcija</w:t>
            </w:r>
          </w:p>
        </w:tc>
        <w:tc>
          <w:tcPr>
            <w:tcW w:w="620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BILANCA</w:t>
            </w:r>
          </w:p>
        </w:tc>
      </w:tr>
      <w:tr>
        <w:trPr/>
        <w:tc>
          <w:tcPr>
            <w:tcW w:w="753" w:type="pct"/>
            <w:vAlign w:val="center"/>
          </w:tcPr>
          <w:p>
            <w:pPr>
              <w:keepNext/>
              <w:jc w:val="center"/>
            </w:pPr>
            <w:r>
              <w:t xml:space="preserve">92211</w:t>
            </w:r>
          </w:p>
        </w:tc>
        <w:tc>
          <w:tcPr>
            <w:tcW w:w="1748" w:type="pct"/>
            <w:vAlign w:val="center"/>
          </w:tcPr>
          <w:p>
            <w:pPr>
              <w:keepNext/>
              <w:jc w:val="center"/>
            </w:pPr>
            <w:r>
              <w:t xml:space="preserve">Višak prihoda poslovanja</w:t>
            </w:r>
          </w:p>
        </w:tc>
        <w:tc>
          <w:tcPr>
            <w:tcW w:w="947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 </w:t>
            </w:r>
          </w:p>
        </w:tc>
        <w:tc>
          <w:tcPr>
            <w:tcW w:w="928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 </w:t>
            </w:r>
          </w:p>
        </w:tc>
        <w:tc>
          <w:tcPr>
            <w:tcW w:w="620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 </w:t>
            </w:r>
          </w:p>
        </w:tc>
      </w:tr>
      <w:tr>
        <w:trPr/>
        <w:tc>
          <w:tcPr>
            <w:tcW w:w="753" w:type="pct"/>
            <w:vAlign w:val="center"/>
          </w:tcPr>
          <w:p>
            <w:pPr>
              <w:keepNext/>
              <w:jc w:val="center"/>
            </w:pPr>
            <w:r>
              <w:t xml:space="preserve">92221</w:t>
            </w:r>
          </w:p>
        </w:tc>
        <w:tc>
          <w:tcPr>
            <w:tcW w:w="1748" w:type="pct"/>
            <w:vAlign w:val="center"/>
          </w:tcPr>
          <w:p>
            <w:pPr>
              <w:keepNext/>
              <w:jc w:val="center"/>
            </w:pPr>
            <w:r>
              <w:t xml:space="preserve">Manjak prihoda poslovanja</w:t>
            </w:r>
          </w:p>
        </w:tc>
        <w:tc>
          <w:tcPr>
            <w:tcW w:w="947" w:type="pct"/>
            <w:vAlign w:val="center"/>
          </w:tcPr>
          <w:p>
            <w:pPr>
              <w:keepNext/>
              <w:jc w:val="center"/>
            </w:pPr>
            <w:r>
              <w:t xml:space="preserve">-218.070,49</w:t>
            </w:r>
          </w:p>
        </w:tc>
        <w:tc>
          <w:tcPr>
            <w:tcW w:w="928" w:type="pct"/>
            <w:vAlign w:val="center"/>
          </w:tcPr>
          <w:p>
            <w:pPr>
              <w:keepNext/>
              <w:jc w:val="center"/>
            </w:pPr>
            <w:r>
              <w:t xml:space="preserve">-80.024,06</w:t>
            </w:r>
          </w:p>
        </w:tc>
        <w:tc>
          <w:tcPr>
            <w:tcW w:w="620" w:type="pct"/>
            <w:vAlign w:val="center"/>
          </w:tcPr>
          <w:p>
            <w:pPr>
              <w:keepNext/>
              <w:jc w:val="center"/>
            </w:pPr>
            <w:r>
              <w:t xml:space="preserve">-298.094,55</w:t>
            </w:r>
          </w:p>
        </w:tc>
      </w:tr>
      <w:tr>
        <w:trPr/>
        <w:tc>
          <w:tcPr>
            <w:tcW w:w="753" w:type="pct"/>
            <w:vAlign w:val="center"/>
          </w:tcPr>
          <w:p>
            <w:pPr>
              <w:keepNext/>
              <w:jc w:val="center"/>
            </w:pPr>
            <w:r>
              <w:t xml:space="preserve">92222</w:t>
            </w:r>
          </w:p>
        </w:tc>
        <w:tc>
          <w:tcPr>
            <w:tcW w:w="1748" w:type="pct"/>
            <w:vAlign w:val="center"/>
          </w:tcPr>
          <w:p>
            <w:pPr>
              <w:keepNext/>
              <w:jc w:val="center"/>
            </w:pPr>
            <w:r>
              <w:t xml:space="preserve">Manjak prihoda od nefinancijske imovine</w:t>
            </w:r>
          </w:p>
        </w:tc>
        <w:tc>
          <w:tcPr>
            <w:tcW w:w="947" w:type="pct"/>
            <w:vAlign w:val="center"/>
          </w:tcPr>
          <w:p>
            <w:pPr>
              <w:keepNext/>
              <w:jc w:val="center"/>
            </w:pPr>
            <w:r>
              <w:t xml:space="preserve">-128.833,21</w:t>
            </w:r>
          </w:p>
        </w:tc>
        <w:tc>
          <w:tcPr>
            <w:tcW w:w="928" w:type="pct"/>
            <w:vAlign w:val="center"/>
          </w:tcPr>
          <w:p>
            <w:pPr>
              <w:keepNext/>
              <w:jc w:val="center"/>
            </w:pPr>
            <w:r>
              <w:t xml:space="preserve">  80.024,06</w:t>
            </w:r>
          </w:p>
        </w:tc>
        <w:tc>
          <w:tcPr>
            <w:tcW w:w="620" w:type="pct"/>
            <w:vAlign w:val="center"/>
          </w:tcPr>
          <w:p>
            <w:pPr>
              <w:keepNext/>
              <w:jc w:val="center"/>
            </w:pPr>
            <w:r>
              <w:t xml:space="preserve">-48.809,15</w:t>
            </w:r>
          </w:p>
        </w:tc>
      </w:tr>
      <w:tr>
        <w:trPr/>
        <w:tc>
          <w:tcPr>
            <w:tcW w:w="753" w:type="pct"/>
            <w:vAlign w:val="center"/>
          </w:tcPr>
          <w:p>
            <w:pPr>
              <w:keepNext/>
              <w:jc w:val="center"/>
            </w:pPr>
            <w:r>
              <w:t xml:space="preserve">922</w:t>
            </w:r>
          </w:p>
        </w:tc>
        <w:tc>
          <w:tcPr>
            <w:tcW w:w="1748" w:type="pct"/>
            <w:vAlign w:val="center"/>
          </w:tcPr>
          <w:p>
            <w:pPr>
              <w:keepNext/>
              <w:jc w:val="center"/>
            </w:pPr>
            <w:r>
              <w:t xml:space="preserve">Višak/manjak prihoda</w:t>
            </w:r>
          </w:p>
        </w:tc>
        <w:tc>
          <w:tcPr>
            <w:tcW w:w="947" w:type="pct"/>
            <w:vAlign w:val="center"/>
          </w:tcPr>
          <w:p>
            <w:pPr>
              <w:keepNext/>
              <w:jc w:val="center"/>
            </w:pPr>
            <w:r>
              <w:t xml:space="preserve">-346.903,70</w:t>
            </w:r>
          </w:p>
        </w:tc>
        <w:tc>
          <w:tcPr>
            <w:tcW w:w="928" w:type="pct"/>
            <w:vAlign w:val="center"/>
          </w:tcPr>
          <w:p>
            <w:pPr>
              <w:keepNext/>
              <w:jc w:val="center"/>
            </w:pPr>
            <w:r>
              <w:t xml:space="preserve">0,00</w:t>
            </w:r>
          </w:p>
        </w:tc>
        <w:tc>
          <w:tcPr>
            <w:tcW w:w="620" w:type="pct"/>
            <w:vAlign w:val="center"/>
          </w:tcPr>
          <w:p>
            <w:pPr>
              <w:keepNext/>
              <w:jc w:val="center"/>
            </w:pPr>
            <w:r>
              <w:t xml:space="preserve">-346.903,70</w:t>
            </w:r>
          </w:p>
        </w:tc>
      </w:tr>
    </w:tbl>
    <w:p>
      <w:pPr>
        <w:jc w:val="both"/>
      </w:pPr>
      <w:r>
        <w:br/>
      </w:r>
      <w:r>
        <w:t xml:space="preserve">Korekcija je izvršena za kapitalne prijenose na računima:</w:t>
      </w:r>
    </w:p>
    <w:p>
      <w:pPr>
        <w:jc w:val="both"/>
      </w:pPr>
      <w:r>
        <w:t xml:space="preserve">- 63622 - Kapitalne pomoći iz državnog proračuna proračunskim korisnicima proračuna JLP(R)S - 44.807,31 EUR, </w:t>
      </w:r>
    </w:p>
    <w:p>
      <w:pPr>
        <w:jc w:val="both"/>
      </w:pPr>
      <w:r>
        <w:t xml:space="preserve">- 67121 -Prihodi iz nadležnog proračuna za financiranje rashoda za nabavu nefinancijske imovine - 35.216,75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160.903,42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tekućem izvještajnom razdoblju iskazano je smanjenje u vrijednosti imovine jer je novim Pravilnikom propisano da se za ispravak vrijednosti imovine koristi račun 91511.</w:t>
      </w:r>
    </w:p>
    <w:p>
      <w:r>
        <w:t xml:space="preserve">Popis smanjenja vrijednosti imovine:</w:t>
      </w:r>
    </w:p>
    <w:tbl>
      <w:tblPr>
        <w:tblStyle w:val="TableGrid"/>
        <w:tblW w:w="3483.34" w:type="pct"/>
      </w:tblPr>
      <w:tblGrid>
        <w:gridCol w:w="4811"/>
        <w:gridCol w:w="4812"/>
      </w:tblGrid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Opis promjena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Iznos</w:t>
            </w:r>
          </w:p>
        </w:tc>
      </w:tr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t xml:space="preserve">Ispravak vrijednosti nabavljenih udžbenika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 43.704,72 EUR</w:t>
            </w:r>
          </w:p>
        </w:tc>
      </w:tr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t xml:space="preserve">Ispravak vrijednosti građevinskih objekata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 56.274,33 EUR</w:t>
            </w:r>
          </w:p>
        </w:tc>
      </w:tr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t xml:space="preserve">Ispravak vrijednosti postrojenja i opreme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 59.947,09 EUR</w:t>
            </w:r>
          </w:p>
        </w:tc>
      </w:tr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t xml:space="preserve">Ispravak vrijednosti knjiga u knjižnici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     977,28 EUR</w:t>
            </w:r>
          </w:p>
        </w:tc>
      </w:tr>
      <w:tr>
        <w:trPr>
          <w:trHeight w:val="542" w:hRule="atLeast"/>
        </w:trPr>
        <w:tc>
          <w:tcPr>
            <w:tcW w:w="2499" w:type="pct"/>
            <w:vAlign w:val="center"/>
          </w:tcPr>
          <w:p>
            <w:pPr>
              <w:keepNext/>
              <w:jc w:val="center"/>
            </w:pPr>
            <w:r>
              <w:t xml:space="preserve">UKUPNO: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160.903,42 EUR</w:t>
            </w:r>
          </w:p>
        </w:tc>
      </w:tr>
    </w:tbl>
    <w:p>
      <w:pPr>
        <w:jc w:val="center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69.362,87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dospjelih obveza na kraju izvještajnog razdoblja iznosi 69.362,87 EUR. Iznos od 19.871,67 EUR odnosi se uglavnom na obveze za materijalne rashode, a rezultat je raskoraka u dinamici uplate prihoda od strane osnivača u odnosu na dospjele obveze. Navedene obveze podmirene su tijekom siječnja 2026. godine. Iznos obveza od 49.491,20 EUR rezultat je raskoraka u dinamici uplate prihoda od strane Grada Trilja, koji financira radne udžbenike, u odnosu na dospjele obveze. Obveze će biti podmirene po uplati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both"/>
      </w:pPr>
      <w:r>
        <w:t xml:space="preserve">U razdoblju od 1. siječnja do 31. prosinca 2025. ostvareno je 52.251,11 EUR prihoda i rashoda za financiranje projekta </w:t>
      </w:r>
      <w:r>
        <w:rPr>
          <w:b/>
        </w:rPr>
        <w:t xml:space="preserve">Učimo zajedno VII</w:t>
      </w:r>
      <w:r>
        <w:t xml:space="preserve"> (SF.2.4.06.06.0043) čiji je potpisnik Splitsko-dalmatinska županija, a Osnovna škola Trilj partner.</w:t>
      </w:r>
    </w:p>
    <w:p>
      <w:pPr>
        <w:jc w:val="both"/>
      </w:pPr>
      <w:r>
        <w:t xml:space="preserve">Od ukupno ostvarenih prihoda 85%, odnosno 44.413.,44 ostvareno je iz fonda Europski socijalni fond plus, a 15%, odnosno 7.837,67 EUR iz državnog proračuna RH.</w:t>
      </w:r>
    </w:p>
    <w:p>
      <w:pPr>
        <w:jc w:val="both"/>
      </w:pPr>
      <w:r>
        <w:t xml:space="preserve">Rashodi su ostvareni razmjerno ostvarenim izvorima prihoda, a odnose se na plaće, doprinose i prijevoz pomoćnika u nastavi koji imaju sklopljen ugovor o radu u Osnovnoj školi Trilj.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a90b32ff444a8b" /></Relationships>
</file>